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EB" w:rsidRDefault="00E850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50EB" w:rsidRDefault="00E850EB">
      <w:pPr>
        <w:pStyle w:val="ConsPlusNormal"/>
        <w:jc w:val="both"/>
        <w:outlineLvl w:val="0"/>
      </w:pPr>
    </w:p>
    <w:p w:rsidR="00E850EB" w:rsidRDefault="00E850EB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E850EB" w:rsidRDefault="00E850EB">
      <w:pPr>
        <w:pStyle w:val="ConsPlusTitle"/>
        <w:jc w:val="center"/>
      </w:pPr>
    </w:p>
    <w:p w:rsidR="00E850EB" w:rsidRDefault="00E850EB">
      <w:pPr>
        <w:pStyle w:val="ConsPlusTitle"/>
        <w:jc w:val="center"/>
      </w:pPr>
      <w:r>
        <w:t>РЕШЕНИЕ ПРАВЛЕНИЯ</w:t>
      </w:r>
    </w:p>
    <w:p w:rsidR="00E850EB" w:rsidRDefault="00E850EB">
      <w:pPr>
        <w:pStyle w:val="ConsPlusTitle"/>
        <w:jc w:val="center"/>
      </w:pPr>
      <w:bookmarkStart w:id="0" w:name="_GoBack"/>
      <w:r>
        <w:t>от 17 октября 2017 г. N 37/1-тэ-2017</w:t>
      </w:r>
    </w:p>
    <w:bookmarkEnd w:id="0"/>
    <w:p w:rsidR="00E850EB" w:rsidRDefault="00E850EB">
      <w:pPr>
        <w:pStyle w:val="ConsPlusTitle"/>
        <w:jc w:val="center"/>
      </w:pPr>
    </w:p>
    <w:p w:rsidR="00E850EB" w:rsidRDefault="00E850EB">
      <w:pPr>
        <w:pStyle w:val="ConsPlusTitle"/>
        <w:jc w:val="center"/>
      </w:pPr>
      <w:r>
        <w:t>О ТАРИФАХ НА ТЕПЛОВУЮ ЭНЕРГИЮ, ПОСТАВЛЯЕМУЮ ПОТРЕБИТЕЛЯМ</w:t>
      </w:r>
    </w:p>
    <w:p w:rsidR="00E850EB" w:rsidRDefault="00E850EB">
      <w:pPr>
        <w:pStyle w:val="ConsPlusTitle"/>
        <w:jc w:val="center"/>
      </w:pPr>
      <w:r>
        <w:t>ОБЩЕСТВОМ С ОГРАНИЧЕННОЙ ОТВЕТСТВЕННОСТЬЮ</w:t>
      </w:r>
    </w:p>
    <w:p w:rsidR="00E850EB" w:rsidRDefault="00E850EB">
      <w:pPr>
        <w:pStyle w:val="ConsPlusTitle"/>
        <w:jc w:val="center"/>
      </w:pPr>
      <w:r>
        <w:t>УПРАВЛЯЮЩАЯ КОМПАНИЯ "АЗБУКА БЫТА",</w:t>
      </w:r>
    </w:p>
    <w:p w:rsidR="00E850EB" w:rsidRDefault="00E850EB">
      <w:pPr>
        <w:pStyle w:val="ConsPlusTitle"/>
        <w:jc w:val="center"/>
      </w:pPr>
      <w:r>
        <w:t>О ДОЛГОСРОЧНЫХ ПАРАМЕТРАХ РЕГУЛИРОВАНИЯ</w:t>
      </w:r>
    </w:p>
    <w:p w:rsidR="00E850EB" w:rsidRDefault="00E850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0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0EB" w:rsidRDefault="00E850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0EB" w:rsidRDefault="00E850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:rsidR="00E850EB" w:rsidRDefault="00E850EB">
            <w:pPr>
              <w:pStyle w:val="ConsPlusNormal"/>
              <w:jc w:val="center"/>
            </w:pPr>
            <w:r>
              <w:rPr>
                <w:color w:val="392C69"/>
              </w:rPr>
              <w:t>от 18.12.2018 N 45/8-тэ-2019)</w:t>
            </w:r>
          </w:p>
        </w:tc>
      </w:tr>
    </w:tbl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E850EB" w:rsidRDefault="00E850EB">
      <w:pPr>
        <w:pStyle w:val="ConsPlusNormal"/>
        <w:spacing w:before="220"/>
        <w:ind w:firstLine="540"/>
        <w:jc w:val="both"/>
      </w:pPr>
      <w:r>
        <w:t xml:space="preserve">1. Установить на 2017 - 2020 годы долгосрочные </w:t>
      </w:r>
      <w:hyperlink w:anchor="P35" w:history="1">
        <w:r>
          <w:rPr>
            <w:color w:val="0000FF"/>
          </w:rPr>
          <w:t>параметры</w:t>
        </w:r>
      </w:hyperlink>
      <w:r>
        <w:t xml:space="preserve"> регулирования деятельности общества с ограниченной ответственностью Управляющая компания "Азбука быта" для формирования тарифов на тепловую энергию с использованием метода индексации установленных тарифов согласно приложению N 1.</w:t>
      </w:r>
    </w:p>
    <w:p w:rsidR="00E850EB" w:rsidRDefault="00E850EB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08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потребителям обществом с ограниченной ответственностью Управляющая компания "Азбука быта", согласно приложению N 2.</w:t>
      </w:r>
    </w:p>
    <w:p w:rsidR="00E850EB" w:rsidRDefault="00E850EB">
      <w:pPr>
        <w:pStyle w:val="ConsPlusNormal"/>
        <w:spacing w:before="220"/>
        <w:ind w:firstLine="540"/>
        <w:jc w:val="both"/>
      </w:pPr>
      <w:r>
        <w:t xml:space="preserve">3. </w:t>
      </w:r>
      <w:hyperlink w:anchor="P108" w:history="1">
        <w:r>
          <w:rPr>
            <w:color w:val="0000FF"/>
          </w:rPr>
          <w:t>Тарифы</w:t>
        </w:r>
      </w:hyperlink>
      <w:r>
        <w:t>, установленные в пункте 2 настоящего решения, действуют с 17 октября 2017 года по 31 декабря 2020 года.</w:t>
      </w: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right"/>
      </w:pPr>
      <w:r>
        <w:t>И.о. руководителя</w:t>
      </w:r>
    </w:p>
    <w:p w:rsidR="00E850EB" w:rsidRDefault="00E850EB">
      <w:pPr>
        <w:pStyle w:val="ConsPlusNormal"/>
        <w:jc w:val="right"/>
      </w:pPr>
      <w:r>
        <w:t>региональной службы по тарифам</w:t>
      </w:r>
    </w:p>
    <w:p w:rsidR="00E850EB" w:rsidRDefault="00E850EB">
      <w:pPr>
        <w:pStyle w:val="ConsPlusNormal"/>
        <w:jc w:val="right"/>
      </w:pPr>
      <w:r>
        <w:t>Кировской области</w:t>
      </w:r>
    </w:p>
    <w:p w:rsidR="00E850EB" w:rsidRDefault="00E850EB">
      <w:pPr>
        <w:pStyle w:val="ConsPlusNormal"/>
        <w:jc w:val="right"/>
      </w:pPr>
      <w:r>
        <w:t>Г.В.ТРОЯН</w:t>
      </w: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right"/>
        <w:outlineLvl w:val="0"/>
      </w:pPr>
      <w:r>
        <w:t>Приложение N 1</w:t>
      </w:r>
    </w:p>
    <w:p w:rsidR="00E850EB" w:rsidRDefault="00E850EB">
      <w:pPr>
        <w:pStyle w:val="ConsPlusNormal"/>
        <w:jc w:val="right"/>
      </w:pPr>
      <w:r>
        <w:t>к решению</w:t>
      </w:r>
    </w:p>
    <w:p w:rsidR="00E850EB" w:rsidRDefault="00E850EB">
      <w:pPr>
        <w:pStyle w:val="ConsPlusNormal"/>
        <w:jc w:val="right"/>
      </w:pPr>
      <w:r>
        <w:t>правления региональной</w:t>
      </w:r>
    </w:p>
    <w:p w:rsidR="00E850EB" w:rsidRDefault="00E850EB">
      <w:pPr>
        <w:pStyle w:val="ConsPlusNormal"/>
        <w:jc w:val="right"/>
      </w:pPr>
      <w:r>
        <w:t>службы по тарифам</w:t>
      </w:r>
    </w:p>
    <w:p w:rsidR="00E850EB" w:rsidRDefault="00E850EB">
      <w:pPr>
        <w:pStyle w:val="ConsPlusNormal"/>
        <w:jc w:val="right"/>
      </w:pPr>
      <w:r>
        <w:t>Кировской области</w:t>
      </w:r>
    </w:p>
    <w:p w:rsidR="00E850EB" w:rsidRDefault="00E850EB">
      <w:pPr>
        <w:pStyle w:val="ConsPlusNormal"/>
        <w:jc w:val="right"/>
      </w:pPr>
      <w:r>
        <w:t>от 17 октября 2017 г. N 37/1-тэ-2017</w:t>
      </w: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Title"/>
        <w:jc w:val="center"/>
      </w:pPr>
      <w:bookmarkStart w:id="1" w:name="P35"/>
      <w:bookmarkEnd w:id="1"/>
      <w:r>
        <w:t>ДОЛГОСРОЧНЫЕ ПАРАМЕТРЫ</w:t>
      </w:r>
    </w:p>
    <w:p w:rsidR="00E850EB" w:rsidRDefault="00E850EB">
      <w:pPr>
        <w:pStyle w:val="ConsPlusTitle"/>
        <w:jc w:val="center"/>
      </w:pPr>
      <w:r>
        <w:t>РЕГУЛИРОВАНИЯ ДЕЯТЕЛЬНОСТИ ОБЩЕСТВА С ОГРАНИЧЕННОЙ</w:t>
      </w:r>
    </w:p>
    <w:p w:rsidR="00E850EB" w:rsidRDefault="00E850EB">
      <w:pPr>
        <w:pStyle w:val="ConsPlusTitle"/>
        <w:jc w:val="center"/>
      </w:pPr>
      <w:r>
        <w:t>ОТВЕТСТВЕННОСТЬЮ УПРАВЛЯЮЩАЯ КОМПАНИЯ "АЗБУКА БЫТА"</w:t>
      </w:r>
    </w:p>
    <w:p w:rsidR="00E850EB" w:rsidRDefault="00E850EB">
      <w:pPr>
        <w:pStyle w:val="ConsPlusTitle"/>
        <w:jc w:val="center"/>
      </w:pPr>
      <w:r>
        <w:t>ДЛЯ ФОРМИРОВАНИЯ ТАРИФОВ С ИСПОЛЬЗОВАНИЕМ МЕТОДА</w:t>
      </w:r>
    </w:p>
    <w:p w:rsidR="00E850EB" w:rsidRDefault="00E850EB">
      <w:pPr>
        <w:pStyle w:val="ConsPlusTitle"/>
        <w:jc w:val="center"/>
      </w:pPr>
      <w:r>
        <w:lastRenderedPageBreak/>
        <w:t>ИНДЕКСАЦИИ УСТАНОВЛЕННЫХ ТАРИФОВ (УЛ. КРАСНОПОЛЯНСКАЯ,</w:t>
      </w:r>
    </w:p>
    <w:p w:rsidR="00E850EB" w:rsidRDefault="00E850EB">
      <w:pPr>
        <w:pStyle w:val="ConsPlusTitle"/>
        <w:jc w:val="center"/>
      </w:pPr>
      <w:r>
        <w:t>ДОМА 4, 6, 8, 10, МКР МЕТРОГРАД, Г. КИРОВ)</w:t>
      </w:r>
    </w:p>
    <w:p w:rsidR="00E850EB" w:rsidRDefault="00E850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77"/>
        <w:gridCol w:w="964"/>
        <w:gridCol w:w="850"/>
        <w:gridCol w:w="850"/>
        <w:gridCol w:w="1247"/>
        <w:gridCol w:w="1304"/>
        <w:gridCol w:w="1116"/>
        <w:gridCol w:w="926"/>
      </w:tblGrid>
      <w:tr w:rsidR="00E850EB">
        <w:tc>
          <w:tcPr>
            <w:tcW w:w="737" w:type="dxa"/>
            <w:vMerge w:val="restart"/>
          </w:tcPr>
          <w:p w:rsidR="00E850EB" w:rsidRDefault="00E850E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E850EB" w:rsidRDefault="00E850EB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964" w:type="dxa"/>
            <w:vMerge w:val="restart"/>
          </w:tcPr>
          <w:p w:rsidR="00E850EB" w:rsidRDefault="00E850EB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E850EB" w:rsidRDefault="00E850EB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850" w:type="dxa"/>
            <w:vMerge w:val="restart"/>
          </w:tcPr>
          <w:p w:rsidR="00E850EB" w:rsidRDefault="00E850EB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2551" w:type="dxa"/>
            <w:gridSpan w:val="2"/>
          </w:tcPr>
          <w:p w:rsidR="00E850EB" w:rsidRDefault="00E850EB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116" w:type="dxa"/>
            <w:vMerge w:val="restart"/>
          </w:tcPr>
          <w:p w:rsidR="00E850EB" w:rsidRDefault="00E850EB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926" w:type="dxa"/>
            <w:vMerge w:val="restart"/>
          </w:tcPr>
          <w:p w:rsidR="00E850EB" w:rsidRDefault="00E850EB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E850EB">
        <w:tc>
          <w:tcPr>
            <w:tcW w:w="737" w:type="dxa"/>
            <w:vMerge/>
          </w:tcPr>
          <w:p w:rsidR="00E850EB" w:rsidRDefault="00E850EB"/>
        </w:tc>
        <w:tc>
          <w:tcPr>
            <w:tcW w:w="1077" w:type="dxa"/>
            <w:vMerge/>
          </w:tcPr>
          <w:p w:rsidR="00E850EB" w:rsidRDefault="00E850EB"/>
        </w:tc>
        <w:tc>
          <w:tcPr>
            <w:tcW w:w="964" w:type="dxa"/>
            <w:vMerge/>
          </w:tcPr>
          <w:p w:rsidR="00E850EB" w:rsidRDefault="00E850EB"/>
        </w:tc>
        <w:tc>
          <w:tcPr>
            <w:tcW w:w="850" w:type="dxa"/>
            <w:vMerge/>
          </w:tcPr>
          <w:p w:rsidR="00E850EB" w:rsidRDefault="00E850EB"/>
        </w:tc>
        <w:tc>
          <w:tcPr>
            <w:tcW w:w="850" w:type="dxa"/>
            <w:vMerge/>
          </w:tcPr>
          <w:p w:rsidR="00E850EB" w:rsidRDefault="00E850EB"/>
        </w:tc>
        <w:tc>
          <w:tcPr>
            <w:tcW w:w="1247" w:type="dxa"/>
          </w:tcPr>
          <w:p w:rsidR="00E850EB" w:rsidRDefault="00E850EB">
            <w:pPr>
              <w:pStyle w:val="ConsPlusNormal"/>
              <w:jc w:val="center"/>
            </w:pPr>
            <w:r>
              <w:t>Удельный расход топлива на единицу тепловой энергии, отпускаемой в сеть</w:t>
            </w:r>
          </w:p>
        </w:tc>
        <w:tc>
          <w:tcPr>
            <w:tcW w:w="1304" w:type="dxa"/>
          </w:tcPr>
          <w:p w:rsidR="00E850EB" w:rsidRDefault="00E850EB">
            <w:pPr>
              <w:pStyle w:val="ConsPlusNormal"/>
              <w:jc w:val="center"/>
            </w:pPr>
            <w: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116" w:type="dxa"/>
            <w:vMerge/>
          </w:tcPr>
          <w:p w:rsidR="00E850EB" w:rsidRDefault="00E850EB"/>
        </w:tc>
        <w:tc>
          <w:tcPr>
            <w:tcW w:w="926" w:type="dxa"/>
            <w:vMerge/>
          </w:tcPr>
          <w:p w:rsidR="00E850EB" w:rsidRDefault="00E850EB"/>
        </w:tc>
      </w:tr>
      <w:tr w:rsidR="00E850EB">
        <w:tc>
          <w:tcPr>
            <w:tcW w:w="737" w:type="dxa"/>
            <w:vMerge/>
          </w:tcPr>
          <w:p w:rsidR="00E850EB" w:rsidRDefault="00E850EB"/>
        </w:tc>
        <w:tc>
          <w:tcPr>
            <w:tcW w:w="1077" w:type="dxa"/>
          </w:tcPr>
          <w:p w:rsidR="00E850EB" w:rsidRDefault="00E850E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E850EB" w:rsidRDefault="00E850E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</w:pPr>
          </w:p>
        </w:tc>
        <w:tc>
          <w:tcPr>
            <w:tcW w:w="1247" w:type="dxa"/>
          </w:tcPr>
          <w:p w:rsidR="00E850EB" w:rsidRDefault="00E850EB">
            <w:pPr>
              <w:pStyle w:val="ConsPlusNormal"/>
              <w:jc w:val="center"/>
            </w:pPr>
            <w:r>
              <w:t>кг у.т./Гкал</w:t>
            </w:r>
          </w:p>
        </w:tc>
        <w:tc>
          <w:tcPr>
            <w:tcW w:w="1304" w:type="dxa"/>
          </w:tcPr>
          <w:p w:rsidR="00E850EB" w:rsidRDefault="00E850E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116" w:type="dxa"/>
          </w:tcPr>
          <w:p w:rsidR="00E850EB" w:rsidRDefault="00E850EB">
            <w:pPr>
              <w:pStyle w:val="ConsPlusNormal"/>
            </w:pPr>
          </w:p>
        </w:tc>
        <w:tc>
          <w:tcPr>
            <w:tcW w:w="926" w:type="dxa"/>
          </w:tcPr>
          <w:p w:rsidR="00E850EB" w:rsidRDefault="00E850EB">
            <w:pPr>
              <w:pStyle w:val="ConsPlusNormal"/>
            </w:pPr>
          </w:p>
        </w:tc>
      </w:tr>
      <w:tr w:rsidR="00E850EB">
        <w:tc>
          <w:tcPr>
            <w:tcW w:w="737" w:type="dxa"/>
          </w:tcPr>
          <w:p w:rsidR="00E850EB" w:rsidRDefault="00E850E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E850EB" w:rsidRDefault="00E850EB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964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737" w:type="dxa"/>
          </w:tcPr>
          <w:p w:rsidR="00E850EB" w:rsidRDefault="00E850E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50EB" w:rsidRDefault="00E85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737" w:type="dxa"/>
          </w:tcPr>
          <w:p w:rsidR="00E850EB" w:rsidRDefault="00E850E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50EB" w:rsidRDefault="00E85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737" w:type="dxa"/>
          </w:tcPr>
          <w:p w:rsidR="00E850EB" w:rsidRDefault="00E850E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850EB" w:rsidRDefault="00E85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</w:tbl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right"/>
        <w:outlineLvl w:val="0"/>
      </w:pPr>
      <w:r>
        <w:t>Приложение N 2</w:t>
      </w:r>
    </w:p>
    <w:p w:rsidR="00E850EB" w:rsidRDefault="00E850EB">
      <w:pPr>
        <w:pStyle w:val="ConsPlusNormal"/>
        <w:jc w:val="right"/>
      </w:pPr>
      <w:r>
        <w:t>к решению</w:t>
      </w:r>
    </w:p>
    <w:p w:rsidR="00E850EB" w:rsidRDefault="00E850EB">
      <w:pPr>
        <w:pStyle w:val="ConsPlusNormal"/>
        <w:jc w:val="right"/>
      </w:pPr>
      <w:r>
        <w:t>правления региональной</w:t>
      </w:r>
    </w:p>
    <w:p w:rsidR="00E850EB" w:rsidRDefault="00E850EB">
      <w:pPr>
        <w:pStyle w:val="ConsPlusNormal"/>
        <w:jc w:val="right"/>
      </w:pPr>
      <w:r>
        <w:t>службы по тарифам</w:t>
      </w:r>
    </w:p>
    <w:p w:rsidR="00E850EB" w:rsidRDefault="00E850EB">
      <w:pPr>
        <w:pStyle w:val="ConsPlusNormal"/>
        <w:jc w:val="right"/>
      </w:pPr>
      <w:r>
        <w:t>Кировской области</w:t>
      </w:r>
    </w:p>
    <w:p w:rsidR="00E850EB" w:rsidRDefault="00E850EB">
      <w:pPr>
        <w:pStyle w:val="ConsPlusNormal"/>
        <w:jc w:val="right"/>
      </w:pPr>
      <w:r>
        <w:t>от 17 октября 2017 г. N 37/1-тэ-2017</w:t>
      </w: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Title"/>
        <w:jc w:val="center"/>
      </w:pPr>
      <w:bookmarkStart w:id="2" w:name="P108"/>
      <w:bookmarkEnd w:id="2"/>
      <w:r>
        <w:t>ТАРИФЫ</w:t>
      </w:r>
    </w:p>
    <w:p w:rsidR="00E850EB" w:rsidRDefault="00E850EB">
      <w:pPr>
        <w:pStyle w:val="ConsPlusTitle"/>
        <w:jc w:val="center"/>
      </w:pPr>
      <w:r>
        <w:t>НА ТЕПЛОВУЮ ЭНЕРГИЮ, ПОСТАВЛЯЕМУЮ ПОТРЕБИТЕЛЯМ ОБЩЕСТВОМ</w:t>
      </w:r>
    </w:p>
    <w:p w:rsidR="00E850EB" w:rsidRDefault="00E850EB">
      <w:pPr>
        <w:pStyle w:val="ConsPlusTitle"/>
        <w:jc w:val="center"/>
      </w:pPr>
      <w:r>
        <w:t>С ОГРАНИЧЕННОЙ ОТВЕТСТВЕННОСТЬЮ УПРАВЛЯЮЩАЯ КОМПАНИЯ</w:t>
      </w:r>
    </w:p>
    <w:p w:rsidR="00E850EB" w:rsidRDefault="00E850EB">
      <w:pPr>
        <w:pStyle w:val="ConsPlusTitle"/>
        <w:jc w:val="center"/>
      </w:pPr>
      <w:r>
        <w:t>"АЗБУКА БЫТА" (УЛ. КРАСНОПОЛЯНСКАЯ, ДОМА 4, 6, 8, 10,</w:t>
      </w:r>
    </w:p>
    <w:p w:rsidR="00E850EB" w:rsidRDefault="00E850EB">
      <w:pPr>
        <w:pStyle w:val="ConsPlusTitle"/>
        <w:jc w:val="center"/>
      </w:pPr>
      <w:r>
        <w:t>МКР МЕТРОГРАД, Г. КИРОВ)</w:t>
      </w:r>
    </w:p>
    <w:p w:rsidR="00E850EB" w:rsidRDefault="00E850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50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0EB" w:rsidRDefault="00E850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0EB" w:rsidRDefault="00E850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правления региональной службы по тарифам Кировской области</w:t>
            </w:r>
          </w:p>
          <w:p w:rsidR="00E850EB" w:rsidRDefault="00E850EB">
            <w:pPr>
              <w:pStyle w:val="ConsPlusNormal"/>
              <w:jc w:val="center"/>
            </w:pPr>
            <w:r>
              <w:rPr>
                <w:color w:val="392C69"/>
              </w:rPr>
              <w:t>от 18.12.2018 N 45/8-тэ-2019)</w:t>
            </w:r>
          </w:p>
        </w:tc>
      </w:tr>
    </w:tbl>
    <w:p w:rsidR="00E850EB" w:rsidRDefault="00E850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040"/>
        <w:gridCol w:w="963"/>
        <w:gridCol w:w="793"/>
        <w:gridCol w:w="793"/>
        <w:gridCol w:w="850"/>
        <w:gridCol w:w="850"/>
        <w:gridCol w:w="963"/>
      </w:tblGrid>
      <w:tr w:rsidR="00E850EB">
        <w:tc>
          <w:tcPr>
            <w:tcW w:w="1814" w:type="dxa"/>
            <w:vMerge w:val="restart"/>
          </w:tcPr>
          <w:p w:rsidR="00E850EB" w:rsidRDefault="00E850EB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040" w:type="dxa"/>
            <w:vMerge w:val="restart"/>
          </w:tcPr>
          <w:p w:rsidR="00E850EB" w:rsidRDefault="00E850E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3" w:type="dxa"/>
            <w:vMerge w:val="restart"/>
          </w:tcPr>
          <w:p w:rsidR="00E850EB" w:rsidRDefault="00E850EB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286" w:type="dxa"/>
            <w:gridSpan w:val="4"/>
          </w:tcPr>
          <w:p w:rsidR="00E850EB" w:rsidRDefault="00E850EB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963" w:type="dxa"/>
            <w:vMerge w:val="restart"/>
          </w:tcPr>
          <w:p w:rsidR="00E850EB" w:rsidRDefault="00E850EB">
            <w:pPr>
              <w:pStyle w:val="ConsPlusNormal"/>
              <w:jc w:val="center"/>
            </w:pPr>
            <w:r>
              <w:t>Острый и редуцир</w:t>
            </w:r>
            <w:r>
              <w:lastRenderedPageBreak/>
              <w:t>ованный пар</w:t>
            </w:r>
          </w:p>
        </w:tc>
      </w:tr>
      <w:tr w:rsidR="00E850EB">
        <w:tc>
          <w:tcPr>
            <w:tcW w:w="1814" w:type="dxa"/>
            <w:vMerge/>
          </w:tcPr>
          <w:p w:rsidR="00E850EB" w:rsidRDefault="00E850EB"/>
        </w:tc>
        <w:tc>
          <w:tcPr>
            <w:tcW w:w="2040" w:type="dxa"/>
            <w:vMerge/>
          </w:tcPr>
          <w:p w:rsidR="00E850EB" w:rsidRDefault="00E850EB"/>
        </w:tc>
        <w:tc>
          <w:tcPr>
            <w:tcW w:w="963" w:type="dxa"/>
            <w:vMerge/>
          </w:tcPr>
          <w:p w:rsidR="00E850EB" w:rsidRDefault="00E850EB"/>
        </w:tc>
        <w:tc>
          <w:tcPr>
            <w:tcW w:w="793" w:type="dxa"/>
          </w:tcPr>
          <w:p w:rsidR="00E850EB" w:rsidRDefault="00E850EB">
            <w:pPr>
              <w:pStyle w:val="ConsPlusNormal"/>
            </w:pPr>
            <w:r>
              <w:t xml:space="preserve">от 1,2 до 2,5 </w:t>
            </w:r>
            <w:r>
              <w:lastRenderedPageBreak/>
              <w:t>кг/см2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</w:pPr>
            <w:r>
              <w:lastRenderedPageBreak/>
              <w:t xml:space="preserve">от 2,5 до 7,0 </w:t>
            </w:r>
            <w:r>
              <w:lastRenderedPageBreak/>
              <w:t>кг/см2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</w:pPr>
            <w:r>
              <w:lastRenderedPageBreak/>
              <w:t xml:space="preserve">от 7,0 до 13,0 </w:t>
            </w:r>
            <w:r>
              <w:lastRenderedPageBreak/>
              <w:t>кг/см2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</w:pPr>
            <w:r>
              <w:lastRenderedPageBreak/>
              <w:t xml:space="preserve">свыше 13,0 </w:t>
            </w:r>
            <w:r>
              <w:lastRenderedPageBreak/>
              <w:t>кг/см2</w:t>
            </w:r>
          </w:p>
        </w:tc>
        <w:tc>
          <w:tcPr>
            <w:tcW w:w="963" w:type="dxa"/>
            <w:vMerge/>
          </w:tcPr>
          <w:p w:rsidR="00E850EB" w:rsidRDefault="00E850EB"/>
        </w:tc>
      </w:tr>
      <w:tr w:rsidR="00E850EB">
        <w:tc>
          <w:tcPr>
            <w:tcW w:w="9066" w:type="dxa"/>
            <w:gridSpan w:val="8"/>
            <w:vAlign w:val="center"/>
          </w:tcPr>
          <w:p w:rsidR="00E850EB" w:rsidRDefault="00E850EB">
            <w:pPr>
              <w:pStyle w:val="ConsPlusNormal"/>
            </w:pPr>
            <w:r>
              <w:lastRenderedPageBreak/>
              <w:t>Для потребителей в случае отсутствия дифференциации тарифов по схеме подключения:</w:t>
            </w:r>
          </w:p>
        </w:tc>
      </w:tr>
      <w:tr w:rsidR="00E850EB"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E850EB" w:rsidRDefault="00E850E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17 октября по 31 декабря 2017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1 698,1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1814" w:type="dxa"/>
            <w:vMerge/>
            <w:tcBorders>
              <w:bottom w:val="nil"/>
            </w:tcBorders>
          </w:tcPr>
          <w:p w:rsidR="00E850EB" w:rsidRDefault="00E850EB"/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 января по 30 июня 2018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1 698,1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1814" w:type="dxa"/>
            <w:vMerge/>
            <w:tcBorders>
              <w:bottom w:val="nil"/>
            </w:tcBorders>
          </w:tcPr>
          <w:p w:rsidR="00E850EB" w:rsidRDefault="00E850EB"/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 июля по 31 декабря 2018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1 751,0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1814" w:type="dxa"/>
            <w:vMerge/>
            <w:tcBorders>
              <w:bottom w:val="nil"/>
            </w:tcBorders>
          </w:tcPr>
          <w:p w:rsidR="00E850EB" w:rsidRDefault="00E850EB"/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1 751,0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1814" w:type="dxa"/>
            <w:vMerge/>
            <w:tcBorders>
              <w:bottom w:val="nil"/>
            </w:tcBorders>
          </w:tcPr>
          <w:p w:rsidR="00E850EB" w:rsidRDefault="00E850EB"/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1 825,1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1814" w:type="dxa"/>
            <w:vMerge/>
            <w:tcBorders>
              <w:bottom w:val="nil"/>
            </w:tcBorders>
          </w:tcPr>
          <w:p w:rsidR="00E850EB" w:rsidRDefault="00E850EB"/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1 825,1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E850EB" w:rsidRDefault="00E850EB"/>
        </w:tc>
        <w:tc>
          <w:tcPr>
            <w:tcW w:w="2040" w:type="dxa"/>
            <w:tcBorders>
              <w:bottom w:val="nil"/>
            </w:tcBorders>
            <w:vAlign w:val="center"/>
          </w:tcPr>
          <w:p w:rsidR="00E850EB" w:rsidRDefault="00E850EB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963" w:type="dxa"/>
            <w:tcBorders>
              <w:bottom w:val="nil"/>
            </w:tcBorders>
          </w:tcPr>
          <w:p w:rsidR="00E850EB" w:rsidRDefault="00E850EB">
            <w:pPr>
              <w:pStyle w:val="ConsPlusNormal"/>
              <w:jc w:val="center"/>
            </w:pPr>
            <w:r>
              <w:t>1 860,3</w:t>
            </w:r>
          </w:p>
        </w:tc>
        <w:tc>
          <w:tcPr>
            <w:tcW w:w="793" w:type="dxa"/>
            <w:tcBorders>
              <w:bottom w:val="nil"/>
            </w:tcBorders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bottom w:val="nil"/>
            </w:tcBorders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bottom w:val="nil"/>
            </w:tcBorders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blPrEx>
          <w:tblBorders>
            <w:insideH w:val="nil"/>
          </w:tblBorders>
        </w:tblPrEx>
        <w:tc>
          <w:tcPr>
            <w:tcW w:w="9066" w:type="dxa"/>
            <w:gridSpan w:val="8"/>
            <w:tcBorders>
              <w:top w:val="nil"/>
            </w:tcBorders>
          </w:tcPr>
          <w:p w:rsidR="00E850EB" w:rsidRDefault="00E850EB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правления региональной службы по тарифам Кировской области от 18.12.2018 N 45/8-тэ-2019)</w:t>
            </w:r>
          </w:p>
        </w:tc>
      </w:tr>
      <w:tr w:rsidR="00E850EB">
        <w:tc>
          <w:tcPr>
            <w:tcW w:w="9066" w:type="dxa"/>
            <w:gridSpan w:val="8"/>
            <w:vAlign w:val="center"/>
          </w:tcPr>
          <w:p w:rsidR="00E850EB" w:rsidRDefault="00E850EB">
            <w:pPr>
              <w:pStyle w:val="ConsPlusNormal"/>
            </w:pPr>
            <w:r>
              <w:t>Население</w:t>
            </w:r>
          </w:p>
        </w:tc>
      </w:tr>
      <w:tr w:rsidR="00E850EB">
        <w:tc>
          <w:tcPr>
            <w:tcW w:w="1814" w:type="dxa"/>
            <w:vMerge w:val="restart"/>
            <w:vAlign w:val="center"/>
          </w:tcPr>
          <w:p w:rsidR="00E850EB" w:rsidRDefault="00E850EB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17 октября по 31 декабря 2017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1814" w:type="dxa"/>
            <w:vMerge/>
          </w:tcPr>
          <w:p w:rsidR="00E850EB" w:rsidRDefault="00E850EB"/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 января по 30 июня 2018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1814" w:type="dxa"/>
            <w:vMerge/>
          </w:tcPr>
          <w:p w:rsidR="00E850EB" w:rsidRDefault="00E850EB"/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 июля по 31 декабря 2018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1814" w:type="dxa"/>
            <w:vMerge/>
          </w:tcPr>
          <w:p w:rsidR="00E850EB" w:rsidRDefault="00E850EB"/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 января по 30 июня 2019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1814" w:type="dxa"/>
            <w:vMerge/>
          </w:tcPr>
          <w:p w:rsidR="00E850EB" w:rsidRDefault="00E850EB"/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 июля по 31 декабря 2019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1814" w:type="dxa"/>
            <w:vMerge/>
          </w:tcPr>
          <w:p w:rsidR="00E850EB" w:rsidRDefault="00E850EB"/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 января по 30 июня 2020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  <w:tr w:rsidR="00E850EB">
        <w:tc>
          <w:tcPr>
            <w:tcW w:w="1814" w:type="dxa"/>
            <w:vMerge/>
          </w:tcPr>
          <w:p w:rsidR="00E850EB" w:rsidRDefault="00E850EB"/>
        </w:tc>
        <w:tc>
          <w:tcPr>
            <w:tcW w:w="2040" w:type="dxa"/>
            <w:vAlign w:val="center"/>
          </w:tcPr>
          <w:p w:rsidR="00E850EB" w:rsidRDefault="00E850EB">
            <w:pPr>
              <w:pStyle w:val="ConsPlusNormal"/>
            </w:pPr>
            <w:r>
              <w:t>с 1 июля по 31 декабря 2020 года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E850EB" w:rsidRDefault="00E850EB">
            <w:pPr>
              <w:pStyle w:val="ConsPlusNormal"/>
              <w:jc w:val="center"/>
            </w:pPr>
            <w:r>
              <w:t>-</w:t>
            </w:r>
          </w:p>
        </w:tc>
      </w:tr>
    </w:tbl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ind w:firstLine="540"/>
        <w:jc w:val="both"/>
      </w:pPr>
      <w:r>
        <w:t xml:space="preserve">Налог на добавленную стоимость не взимается в соответствии со </w:t>
      </w:r>
      <w:hyperlink r:id="rId11" w:history="1">
        <w:r>
          <w:rPr>
            <w:color w:val="0000FF"/>
          </w:rPr>
          <w:t>ст. 346.11</w:t>
        </w:r>
      </w:hyperlink>
      <w:r>
        <w:t xml:space="preserve"> НК РФ.</w:t>
      </w: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jc w:val="both"/>
      </w:pPr>
    </w:p>
    <w:p w:rsidR="00E850EB" w:rsidRDefault="00E85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4FA" w:rsidRDefault="003034FA"/>
    <w:sectPr w:rsidR="003034FA" w:rsidSect="0019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B"/>
    <w:rsid w:val="003034FA"/>
    <w:rsid w:val="00E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BEE9-3E2C-4728-AB9F-FDED74BB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FC06D2392F7806FEA2B43EAC5186F5448F749D1ED891B2CE69482309D6B5E7A85C420F9D62B6BB2C7502A8845FA2DE556A49FBDDE612C08391465T8z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4FC06D2392F7806FEA2B55F9A944665741AA4DD6E1814573B492D56FCD6D0B28C59A79BA97386AB0D9512F8DT4z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FC06D2392F7806FEA2B55F9A944665743AB4DD7E9814573B492D56FCD6D0B28C59A79BA97386AB0D9512F8DT4zEJ" TargetMode="External"/><Relationship Id="rId11" Type="http://schemas.openxmlformats.org/officeDocument/2006/relationships/hyperlink" Target="consultantplus://offline/ref=F14FC06D2392F7806FEA2B55F9A944665747AB47D6E8814573B492D56FCD6D0B3AC5C275BA91236DB6CC077ECB1BA37CA41DA99DA6C2612CT1z6J" TargetMode="External"/><Relationship Id="rId5" Type="http://schemas.openxmlformats.org/officeDocument/2006/relationships/hyperlink" Target="consultantplus://offline/ref=F14FC06D2392F7806FEA2B43EAC5186F5448F749D1EA8D1527E39482309D6B5E7A85C420F9D62B6BB2C7532F8845FA2DE556A49FBDDE612C08391465T8zBJ" TargetMode="External"/><Relationship Id="rId10" Type="http://schemas.openxmlformats.org/officeDocument/2006/relationships/hyperlink" Target="consultantplus://offline/ref=F14FC06D2392F7806FEA2B43EAC5186F5448F749D1EA8D1527E39482309D6B5E7A85C420F9D62B6BB2C7532F8845FA2DE556A49FBDDE612C08391465T8z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4FC06D2392F7806FEA2B43EAC5186F5448F749D1EA8D1527E39482309D6B5E7A85C420F9D62B6BB2C7532F8845FA2DE556A49FBDDE612C08391465T8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1</cp:revision>
  <dcterms:created xsi:type="dcterms:W3CDTF">2020-02-05T09:51:00Z</dcterms:created>
  <dcterms:modified xsi:type="dcterms:W3CDTF">2020-02-05T09:54:00Z</dcterms:modified>
</cp:coreProperties>
</file>